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06B" w:rsidRPr="00AE4E5F" w:rsidRDefault="00AE4E5F" w:rsidP="00AE4E5F">
      <w:pPr>
        <w:shd w:val="clear" w:color="auto" w:fill="FFFFFF"/>
        <w:spacing w:after="90"/>
        <w:jc w:val="center"/>
        <w:outlineLvl w:val="0"/>
        <w:rPr>
          <w:rFonts w:ascii="Lato" w:eastAsia="Times New Roman" w:hAnsi="Lato" w:cs="Arial"/>
          <w:b/>
          <w:bCs/>
          <w:color w:val="333333"/>
          <w:kern w:val="36"/>
          <w:sz w:val="40"/>
          <w:szCs w:val="40"/>
          <w:lang w:eastAsia="en-GB"/>
        </w:rPr>
      </w:pPr>
      <w:r w:rsidRPr="00AE4E5F">
        <w:rPr>
          <w:rFonts w:ascii="Lato" w:eastAsia="Times New Roman" w:hAnsi="Lato" w:cs="Arial"/>
          <w:b/>
          <w:bCs/>
          <w:color w:val="333333"/>
          <w:kern w:val="36"/>
          <w:sz w:val="40"/>
          <w:szCs w:val="40"/>
          <w:lang w:eastAsia="en-GB"/>
        </w:rPr>
        <w:t>Catholic Bishops’ Conference</w:t>
      </w:r>
      <w:bookmarkStart w:id="0" w:name="_GoBack"/>
      <w:bookmarkEnd w:id="0"/>
      <w:r w:rsidRPr="00AE4E5F">
        <w:rPr>
          <w:rFonts w:ascii="Lato" w:eastAsia="Times New Roman" w:hAnsi="Lato" w:cs="Arial"/>
          <w:b/>
          <w:bCs/>
          <w:color w:val="333333"/>
          <w:kern w:val="36"/>
          <w:sz w:val="40"/>
          <w:szCs w:val="40"/>
          <w:lang w:eastAsia="en-GB"/>
        </w:rPr>
        <w:t xml:space="preserve"> of England and Wales – Synod </w:t>
      </w:r>
      <w:r w:rsidR="00F7006B" w:rsidRPr="00AE4E5F">
        <w:rPr>
          <w:rFonts w:ascii="Lato" w:eastAsia="Times New Roman" w:hAnsi="Lato" w:cs="Arial"/>
          <w:b/>
          <w:bCs/>
          <w:color w:val="333333"/>
          <w:kern w:val="36"/>
          <w:sz w:val="40"/>
          <w:szCs w:val="40"/>
          <w:lang w:eastAsia="en-GB"/>
        </w:rPr>
        <w:t>Questions and Answers</w:t>
      </w:r>
    </w:p>
    <w:p w:rsidR="00F7006B" w:rsidRPr="00F7006B" w:rsidRDefault="00F7006B" w:rsidP="00AE4E5F">
      <w:pPr>
        <w:shd w:val="clear" w:color="auto" w:fill="FFFFFF"/>
        <w:spacing w:before="120" w:after="120" w:line="390" w:lineRule="atLeast"/>
        <w:rPr>
          <w:rFonts w:ascii="Arial" w:eastAsia="Times New Roman" w:hAnsi="Arial" w:cs="Arial"/>
          <w:color w:val="333333"/>
          <w:sz w:val="24"/>
          <w:szCs w:val="24"/>
          <w:lang w:eastAsia="en-GB"/>
        </w:rPr>
      </w:pPr>
      <w:r w:rsidRPr="00F7006B">
        <w:rPr>
          <w:rFonts w:ascii="Arial" w:eastAsia="Times New Roman" w:hAnsi="Arial" w:cs="Arial"/>
          <w:color w:val="333333"/>
          <w:sz w:val="24"/>
          <w:szCs w:val="24"/>
          <w:lang w:eastAsia="en-GB"/>
        </w:rPr>
        <w:t>Here are some answers, provided by the Bishops’ Conference, to frequently asked questions on the </w:t>
      </w:r>
      <w:hyperlink r:id="rId6" w:history="1">
        <w:r w:rsidRPr="00F7006B">
          <w:rPr>
            <w:rFonts w:ascii="Arial" w:eastAsia="Times New Roman" w:hAnsi="Arial" w:cs="Arial"/>
            <w:color w:val="337AB7"/>
            <w:sz w:val="24"/>
            <w:szCs w:val="24"/>
            <w:lang w:eastAsia="en-GB"/>
          </w:rPr>
          <w:t>Synodal Process</w:t>
        </w:r>
      </w:hyperlink>
      <w:r w:rsidRPr="00F7006B">
        <w:rPr>
          <w:rFonts w:ascii="Arial" w:eastAsia="Times New Roman" w:hAnsi="Arial" w:cs="Arial"/>
          <w:color w:val="333333"/>
          <w:sz w:val="24"/>
          <w:szCs w:val="24"/>
          <w:lang w:eastAsia="en-GB"/>
        </w:rPr>
        <w:t>.</w:t>
      </w:r>
    </w:p>
    <w:p w:rsidR="00F7006B" w:rsidRPr="00F7006B" w:rsidRDefault="00F7006B" w:rsidP="00F7006B">
      <w:pPr>
        <w:shd w:val="clear" w:color="auto" w:fill="FFFFFF"/>
        <w:spacing w:before="300" w:after="90"/>
        <w:jc w:val="left"/>
        <w:outlineLvl w:val="3"/>
        <w:rPr>
          <w:rFonts w:ascii="Lato" w:eastAsia="Times New Roman" w:hAnsi="Lato" w:cs="Times New Roman"/>
          <w:b/>
          <w:bCs/>
          <w:color w:val="333333"/>
          <w:sz w:val="27"/>
          <w:szCs w:val="27"/>
          <w:lang w:eastAsia="en-GB"/>
        </w:rPr>
      </w:pPr>
      <w:r w:rsidRPr="00F7006B">
        <w:rPr>
          <w:rFonts w:ascii="Lato" w:eastAsia="Times New Roman" w:hAnsi="Lato" w:cs="Times New Roman"/>
          <w:b/>
          <w:bCs/>
          <w:color w:val="333333"/>
          <w:sz w:val="27"/>
          <w:szCs w:val="27"/>
          <w:lang w:eastAsia="en-GB"/>
        </w:rPr>
        <w:t>What does ‘Synodality’ mean?</w:t>
      </w:r>
    </w:p>
    <w:p w:rsidR="00F7006B" w:rsidRPr="00F7006B" w:rsidRDefault="00F7006B" w:rsidP="00AE4E5F">
      <w:pPr>
        <w:shd w:val="clear" w:color="auto" w:fill="FFFFFF"/>
        <w:spacing w:before="120" w:after="120" w:line="390" w:lineRule="atLeast"/>
        <w:rPr>
          <w:rFonts w:ascii="Arial" w:eastAsia="Times New Roman" w:hAnsi="Arial" w:cs="Arial"/>
          <w:color w:val="333333"/>
          <w:sz w:val="24"/>
          <w:szCs w:val="24"/>
          <w:lang w:eastAsia="en-GB"/>
        </w:rPr>
      </w:pPr>
      <w:r w:rsidRPr="00F7006B">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984885</wp:posOffset>
            </wp:positionV>
            <wp:extent cx="7191375" cy="4796155"/>
            <wp:effectExtent l="0" t="0" r="9525" b="4445"/>
            <wp:wrapSquare wrapText="bothSides"/>
            <wp:docPr id="6" name="Picture 6" descr="http://www.cbcew.org.uk/wp-content/uploads/sites/3/2021/07/Synodal-Process-Infographic-EN-1200x800-1-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bcew.org.uk/wp-content/uploads/sites/3/2021/07/Synodal-Process-Infographic-EN-1200x800-1-1024x68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1375" cy="4796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006B">
        <w:rPr>
          <w:rFonts w:ascii="Arial" w:eastAsia="Times New Roman" w:hAnsi="Arial" w:cs="Arial"/>
          <w:color w:val="333333"/>
          <w:sz w:val="24"/>
          <w:szCs w:val="24"/>
          <w:lang w:eastAsia="en-GB"/>
        </w:rPr>
        <w:t>Synodality comes from a Greek word meaning the ‘walking together’ (syn-) on a ‘particular way’ (-hodos). The ‘particular way’ has been defined by the Synod of Bishops in its process for the Synod 2023. This can be seen in the infographic.</w:t>
      </w:r>
    </w:p>
    <w:p w:rsidR="00F7006B" w:rsidRPr="00F7006B" w:rsidRDefault="00F7006B" w:rsidP="00F7006B">
      <w:pPr>
        <w:shd w:val="clear" w:color="auto" w:fill="FFFFFF"/>
        <w:spacing w:before="300" w:after="90"/>
        <w:jc w:val="left"/>
        <w:outlineLvl w:val="3"/>
        <w:rPr>
          <w:rFonts w:ascii="Lato" w:eastAsia="Times New Roman" w:hAnsi="Lato" w:cs="Times New Roman"/>
          <w:b/>
          <w:bCs/>
          <w:color w:val="333333"/>
          <w:sz w:val="27"/>
          <w:szCs w:val="27"/>
          <w:lang w:eastAsia="en-GB"/>
        </w:rPr>
      </w:pPr>
      <w:r w:rsidRPr="00F7006B">
        <w:rPr>
          <w:rFonts w:ascii="Lato" w:eastAsia="Times New Roman" w:hAnsi="Lato" w:cs="Times New Roman"/>
          <w:b/>
          <w:bCs/>
          <w:color w:val="333333"/>
          <w:sz w:val="27"/>
          <w:szCs w:val="27"/>
          <w:lang w:eastAsia="en-GB"/>
        </w:rPr>
        <w:t>If the process is already defined, how do we ‘walk together?’</w:t>
      </w:r>
    </w:p>
    <w:p w:rsidR="00F7006B" w:rsidRPr="00F7006B" w:rsidRDefault="00F7006B" w:rsidP="00AE4E5F">
      <w:pPr>
        <w:shd w:val="clear" w:color="auto" w:fill="FFFFFF"/>
        <w:spacing w:before="120" w:after="120" w:line="390" w:lineRule="atLeast"/>
        <w:rPr>
          <w:rFonts w:ascii="Arial" w:eastAsia="Times New Roman" w:hAnsi="Arial" w:cs="Arial"/>
          <w:color w:val="333333"/>
          <w:sz w:val="24"/>
          <w:szCs w:val="24"/>
          <w:lang w:eastAsia="en-GB"/>
        </w:rPr>
      </w:pPr>
      <w:r w:rsidRPr="00F7006B">
        <w:rPr>
          <w:rFonts w:ascii="Arial" w:eastAsia="Times New Roman" w:hAnsi="Arial" w:cs="Arial"/>
          <w:color w:val="333333"/>
          <w:sz w:val="24"/>
          <w:szCs w:val="24"/>
          <w:lang w:eastAsia="en-GB"/>
        </w:rPr>
        <w:t>Every member of the Church has the right to speak, and the obligation to allow those charged with the work of discernment the freedom to do so. Pope Francis in his book Let us Dream says “we need a respectful, mutual listening, free of ideology and predetermined agendas”.</w:t>
      </w:r>
      <w:r w:rsidRPr="00F7006B">
        <w:rPr>
          <w:rFonts w:ascii="Arial" w:eastAsia="Times New Roman" w:hAnsi="Arial" w:cs="Arial"/>
          <w:color w:val="333333"/>
          <w:sz w:val="18"/>
          <w:szCs w:val="18"/>
          <w:vertAlign w:val="subscript"/>
          <w:lang w:eastAsia="en-GB"/>
        </w:rPr>
        <w:t>1</w:t>
      </w:r>
    </w:p>
    <w:p w:rsidR="00F7006B" w:rsidRPr="00F7006B" w:rsidRDefault="00F7006B" w:rsidP="00AE4E5F">
      <w:pPr>
        <w:shd w:val="clear" w:color="auto" w:fill="FFFFFF"/>
        <w:spacing w:before="120" w:after="120" w:line="390" w:lineRule="atLeast"/>
        <w:rPr>
          <w:rFonts w:ascii="Arial" w:eastAsia="Times New Roman" w:hAnsi="Arial" w:cs="Arial"/>
          <w:color w:val="333333"/>
          <w:sz w:val="24"/>
          <w:szCs w:val="24"/>
          <w:lang w:eastAsia="en-GB"/>
        </w:rPr>
      </w:pPr>
      <w:r w:rsidRPr="00F7006B">
        <w:rPr>
          <w:rFonts w:ascii="Arial" w:eastAsia="Times New Roman" w:hAnsi="Arial" w:cs="Arial"/>
          <w:color w:val="333333"/>
          <w:sz w:val="24"/>
          <w:szCs w:val="24"/>
          <w:lang w:eastAsia="en-GB"/>
        </w:rPr>
        <w:lastRenderedPageBreak/>
        <w:t>This is at the heart of the process. Each diocese will form its own means of running this listening process so that it reaches as broad a scope of people as possible.</w:t>
      </w:r>
    </w:p>
    <w:p w:rsidR="00F7006B" w:rsidRPr="00F7006B" w:rsidRDefault="00F7006B" w:rsidP="00F7006B">
      <w:pPr>
        <w:shd w:val="clear" w:color="auto" w:fill="FFFFFF"/>
        <w:spacing w:before="300" w:after="90"/>
        <w:jc w:val="left"/>
        <w:outlineLvl w:val="3"/>
        <w:rPr>
          <w:rFonts w:ascii="Lato" w:eastAsia="Times New Roman" w:hAnsi="Lato" w:cs="Times New Roman"/>
          <w:b/>
          <w:bCs/>
          <w:color w:val="333333"/>
          <w:sz w:val="27"/>
          <w:szCs w:val="27"/>
          <w:lang w:eastAsia="en-GB"/>
        </w:rPr>
      </w:pPr>
      <w:r w:rsidRPr="00F7006B">
        <w:rPr>
          <w:rFonts w:ascii="Lato" w:eastAsia="Times New Roman" w:hAnsi="Lato" w:cs="Times New Roman"/>
          <w:b/>
          <w:bCs/>
          <w:color w:val="333333"/>
          <w:sz w:val="27"/>
          <w:szCs w:val="27"/>
          <w:lang w:eastAsia="en-GB"/>
        </w:rPr>
        <w:t>Is this just for parishes and dioceses?</w:t>
      </w:r>
    </w:p>
    <w:p w:rsidR="00F7006B" w:rsidRPr="00F7006B" w:rsidRDefault="00F7006B" w:rsidP="00AE4E5F">
      <w:pPr>
        <w:shd w:val="clear" w:color="auto" w:fill="FFFFFF"/>
        <w:spacing w:before="120" w:after="120" w:line="390" w:lineRule="atLeast"/>
        <w:rPr>
          <w:rFonts w:ascii="Arial" w:eastAsia="Times New Roman" w:hAnsi="Arial" w:cs="Arial"/>
          <w:color w:val="333333"/>
          <w:sz w:val="24"/>
          <w:szCs w:val="24"/>
          <w:lang w:eastAsia="en-GB"/>
        </w:rPr>
      </w:pPr>
      <w:r w:rsidRPr="00F7006B">
        <w:rPr>
          <w:rFonts w:ascii="Arial" w:eastAsia="Times New Roman" w:hAnsi="Arial" w:cs="Arial"/>
          <w:color w:val="333333"/>
          <w:sz w:val="24"/>
          <w:szCs w:val="24"/>
          <w:lang w:eastAsia="en-GB"/>
        </w:rPr>
        <w:t>No, it involves everyone. Schools, young people, hospital chaplaincies, university chaplaincies, prison chaplaincies, the religious and consecrated communities, the societies of apostolic life, those with a distinctive charism in the church all have a voice that speaks into the conversation. Catholic organisations and charities also have a role to play in this work.</w:t>
      </w:r>
    </w:p>
    <w:p w:rsidR="00F7006B" w:rsidRPr="00F7006B" w:rsidRDefault="00F7006B" w:rsidP="00AE4E5F">
      <w:pPr>
        <w:shd w:val="clear" w:color="auto" w:fill="FFFFFF"/>
        <w:spacing w:before="120" w:after="120" w:line="390" w:lineRule="atLeast"/>
        <w:rPr>
          <w:rFonts w:ascii="Arial" w:eastAsia="Times New Roman" w:hAnsi="Arial" w:cs="Arial"/>
          <w:color w:val="333333"/>
          <w:sz w:val="24"/>
          <w:szCs w:val="24"/>
          <w:lang w:eastAsia="en-GB"/>
        </w:rPr>
      </w:pPr>
      <w:r w:rsidRPr="00F7006B">
        <w:rPr>
          <w:rFonts w:ascii="Arial" w:eastAsia="Times New Roman" w:hAnsi="Arial" w:cs="Arial"/>
          <w:color w:val="333333"/>
          <w:sz w:val="24"/>
          <w:szCs w:val="24"/>
          <w:lang w:eastAsia="en-GB"/>
        </w:rPr>
        <w:t>Echoing the experience of the Second Vatican Council, Ecumenical and Interreligious engagement is also encouraged, and this is best facilitated at the local level. This is an important voice from outside the Church that offers an insight into the collaboration for the good of all.</w:t>
      </w:r>
    </w:p>
    <w:p w:rsidR="00F7006B" w:rsidRPr="00F7006B" w:rsidRDefault="00F7006B" w:rsidP="00F7006B">
      <w:pPr>
        <w:shd w:val="clear" w:color="auto" w:fill="FFFFFF"/>
        <w:spacing w:before="300" w:after="90"/>
        <w:jc w:val="left"/>
        <w:outlineLvl w:val="3"/>
        <w:rPr>
          <w:rFonts w:ascii="Lato" w:eastAsia="Times New Roman" w:hAnsi="Lato" w:cs="Times New Roman"/>
          <w:b/>
          <w:bCs/>
          <w:color w:val="333333"/>
          <w:sz w:val="27"/>
          <w:szCs w:val="27"/>
          <w:lang w:eastAsia="en-GB"/>
        </w:rPr>
      </w:pPr>
      <w:r w:rsidRPr="00F7006B">
        <w:rPr>
          <w:rFonts w:ascii="Lato" w:eastAsia="Times New Roman" w:hAnsi="Lato" w:cs="Times New Roman"/>
          <w:b/>
          <w:bCs/>
          <w:color w:val="333333"/>
          <w:sz w:val="27"/>
          <w:szCs w:val="27"/>
          <w:lang w:eastAsia="en-GB"/>
        </w:rPr>
        <w:t>Can we talk about any topic?</w:t>
      </w:r>
    </w:p>
    <w:p w:rsidR="00F7006B" w:rsidRPr="00F7006B" w:rsidRDefault="00F7006B" w:rsidP="00AE4E5F">
      <w:pPr>
        <w:shd w:val="clear" w:color="auto" w:fill="FFFFFF"/>
        <w:spacing w:before="120" w:after="120" w:line="390" w:lineRule="atLeast"/>
        <w:rPr>
          <w:rFonts w:ascii="Arial" w:eastAsia="Times New Roman" w:hAnsi="Arial" w:cs="Arial"/>
          <w:color w:val="333333"/>
          <w:sz w:val="24"/>
          <w:szCs w:val="24"/>
          <w:lang w:eastAsia="en-GB"/>
        </w:rPr>
      </w:pPr>
      <w:r w:rsidRPr="00F7006B">
        <w:rPr>
          <w:rFonts w:ascii="Arial" w:eastAsia="Times New Roman" w:hAnsi="Arial" w:cs="Arial"/>
          <w:color w:val="333333"/>
          <w:sz w:val="24"/>
          <w:szCs w:val="24"/>
          <w:lang w:eastAsia="en-GB"/>
        </w:rPr>
        <w:t>Pope Francis says “what is under discussion at synodal gatherings are not the traditional truths of Christian doctrine. The Synod is concerned mainly with how teaching can be lived and applied in the changing contexts of our time.”</w:t>
      </w:r>
      <w:r w:rsidRPr="00F7006B">
        <w:rPr>
          <w:rFonts w:ascii="Arial" w:eastAsia="Times New Roman" w:hAnsi="Arial" w:cs="Arial"/>
          <w:color w:val="333333"/>
          <w:sz w:val="18"/>
          <w:szCs w:val="18"/>
          <w:vertAlign w:val="subscript"/>
          <w:lang w:eastAsia="en-GB"/>
        </w:rPr>
        <w:t>2</w:t>
      </w:r>
    </w:p>
    <w:p w:rsidR="00F7006B" w:rsidRPr="00F7006B" w:rsidRDefault="00F7006B" w:rsidP="00F7006B">
      <w:pPr>
        <w:shd w:val="clear" w:color="auto" w:fill="FFFFFF"/>
        <w:spacing w:before="120" w:after="120" w:line="390" w:lineRule="atLeast"/>
        <w:jc w:val="left"/>
        <w:rPr>
          <w:rFonts w:ascii="Arial" w:eastAsia="Times New Roman" w:hAnsi="Arial" w:cs="Arial"/>
          <w:color w:val="333333"/>
          <w:sz w:val="24"/>
          <w:szCs w:val="24"/>
          <w:lang w:eastAsia="en-GB"/>
        </w:rPr>
      </w:pPr>
      <w:r w:rsidRPr="00F7006B">
        <w:rPr>
          <w:rFonts w:ascii="Arial" w:eastAsia="Times New Roman" w:hAnsi="Arial" w:cs="Arial"/>
          <w:color w:val="333333"/>
          <w:sz w:val="24"/>
          <w:szCs w:val="24"/>
          <w:lang w:eastAsia="en-GB"/>
        </w:rPr>
        <w:t>Therefore all topics can be raised but it is important to realise that not all will form part of the ongoing discussion.</w:t>
      </w:r>
    </w:p>
    <w:p w:rsidR="00F7006B" w:rsidRPr="00F7006B" w:rsidRDefault="00F7006B" w:rsidP="00F7006B">
      <w:pPr>
        <w:shd w:val="clear" w:color="auto" w:fill="FFFFFF"/>
        <w:spacing w:before="300" w:after="90"/>
        <w:jc w:val="left"/>
        <w:outlineLvl w:val="3"/>
        <w:rPr>
          <w:rFonts w:ascii="Lato" w:eastAsia="Times New Roman" w:hAnsi="Lato" w:cs="Times New Roman"/>
          <w:b/>
          <w:bCs/>
          <w:color w:val="333333"/>
          <w:sz w:val="27"/>
          <w:szCs w:val="27"/>
          <w:lang w:eastAsia="en-GB"/>
        </w:rPr>
      </w:pPr>
      <w:r w:rsidRPr="00F7006B">
        <w:rPr>
          <w:rFonts w:ascii="Lato" w:eastAsia="Times New Roman" w:hAnsi="Lato" w:cs="Times New Roman"/>
          <w:b/>
          <w:bCs/>
          <w:color w:val="333333"/>
          <w:sz w:val="27"/>
          <w:szCs w:val="27"/>
          <w:lang w:eastAsia="en-GB"/>
        </w:rPr>
        <w:t>Will this make the Church more democratic, like other churches?</w:t>
      </w:r>
    </w:p>
    <w:p w:rsidR="00F7006B" w:rsidRPr="00F7006B" w:rsidRDefault="00F7006B" w:rsidP="00AE4E5F">
      <w:pPr>
        <w:shd w:val="clear" w:color="auto" w:fill="FFFFFF"/>
        <w:spacing w:before="120" w:after="120" w:line="390" w:lineRule="atLeast"/>
        <w:rPr>
          <w:rFonts w:ascii="Arial" w:eastAsia="Times New Roman" w:hAnsi="Arial" w:cs="Arial"/>
          <w:color w:val="333333"/>
          <w:sz w:val="24"/>
          <w:szCs w:val="24"/>
          <w:lang w:eastAsia="en-GB"/>
        </w:rPr>
      </w:pPr>
      <w:r w:rsidRPr="00F7006B">
        <w:rPr>
          <w:rFonts w:ascii="Arial" w:eastAsia="Times New Roman" w:hAnsi="Arial" w:cs="Arial"/>
          <w:color w:val="333333"/>
          <w:sz w:val="24"/>
          <w:szCs w:val="24"/>
          <w:lang w:eastAsia="en-GB"/>
        </w:rPr>
        <w:t>The Synodal Process is not about a democratic debate. It is place of respectful mutual listening and experiencing the call of the Holy Spirit to move in new ways. Again the Pope is clear on this:</w:t>
      </w:r>
    </w:p>
    <w:p w:rsidR="00F7006B" w:rsidRPr="00F7006B" w:rsidRDefault="00F7006B" w:rsidP="00AE4E5F">
      <w:pPr>
        <w:shd w:val="clear" w:color="auto" w:fill="FFFFFF"/>
        <w:spacing w:before="120" w:after="120" w:line="390" w:lineRule="atLeast"/>
        <w:rPr>
          <w:rFonts w:ascii="Arial" w:eastAsia="Times New Roman" w:hAnsi="Arial" w:cs="Arial"/>
          <w:color w:val="333333"/>
          <w:sz w:val="24"/>
          <w:szCs w:val="24"/>
          <w:lang w:eastAsia="en-GB"/>
        </w:rPr>
      </w:pPr>
      <w:r w:rsidRPr="00F7006B">
        <w:rPr>
          <w:rFonts w:ascii="Arial" w:eastAsia="Times New Roman" w:hAnsi="Arial" w:cs="Arial"/>
          <w:color w:val="333333"/>
          <w:sz w:val="24"/>
          <w:szCs w:val="24"/>
          <w:lang w:eastAsia="en-GB"/>
        </w:rPr>
        <w:t>“Another temptation that so often confuses people is treating the Synod as a kind of parliament underpinned by a ‘political battle’ in which in order to govern one side must defeat the other…this goes against the spirit of the synod as a protected space of community discernment.”</w:t>
      </w:r>
      <w:r w:rsidRPr="00F7006B">
        <w:rPr>
          <w:rFonts w:ascii="Arial" w:eastAsia="Times New Roman" w:hAnsi="Arial" w:cs="Arial"/>
          <w:color w:val="333333"/>
          <w:sz w:val="18"/>
          <w:szCs w:val="18"/>
          <w:vertAlign w:val="subscript"/>
          <w:lang w:eastAsia="en-GB"/>
        </w:rPr>
        <w:t>3</w:t>
      </w:r>
    </w:p>
    <w:p w:rsidR="00F7006B" w:rsidRPr="00F7006B" w:rsidRDefault="00F7006B" w:rsidP="00AE4E5F">
      <w:pPr>
        <w:shd w:val="clear" w:color="auto" w:fill="FFFFFF"/>
        <w:spacing w:before="120" w:after="120" w:line="390" w:lineRule="atLeast"/>
        <w:rPr>
          <w:rFonts w:ascii="Arial" w:eastAsia="Times New Roman" w:hAnsi="Arial" w:cs="Arial"/>
          <w:color w:val="333333"/>
          <w:sz w:val="24"/>
          <w:szCs w:val="24"/>
          <w:lang w:eastAsia="en-GB"/>
        </w:rPr>
      </w:pPr>
      <w:r w:rsidRPr="00F7006B">
        <w:rPr>
          <w:rFonts w:ascii="Arial" w:eastAsia="Times New Roman" w:hAnsi="Arial" w:cs="Arial"/>
          <w:color w:val="333333"/>
          <w:sz w:val="24"/>
          <w:szCs w:val="24"/>
          <w:lang w:eastAsia="en-GB"/>
        </w:rPr>
        <w:t>What it will do is embed at all levels of the Church a new way of listening and hearing, of discernment and action which remains faithful to the truths received but expresses them in the context of a particular time.</w:t>
      </w:r>
    </w:p>
    <w:p w:rsidR="00F7006B" w:rsidRPr="00F7006B" w:rsidRDefault="00F7006B" w:rsidP="00F7006B">
      <w:pPr>
        <w:shd w:val="clear" w:color="auto" w:fill="FFFFFF"/>
        <w:spacing w:before="300" w:after="90"/>
        <w:jc w:val="left"/>
        <w:outlineLvl w:val="3"/>
        <w:rPr>
          <w:rFonts w:ascii="Lato" w:eastAsia="Times New Roman" w:hAnsi="Lato" w:cs="Times New Roman"/>
          <w:b/>
          <w:bCs/>
          <w:color w:val="333333"/>
          <w:sz w:val="27"/>
          <w:szCs w:val="27"/>
          <w:lang w:eastAsia="en-GB"/>
        </w:rPr>
      </w:pPr>
      <w:r w:rsidRPr="00F7006B">
        <w:rPr>
          <w:rFonts w:ascii="Lato" w:eastAsia="Times New Roman" w:hAnsi="Lato" w:cs="Times New Roman"/>
          <w:b/>
          <w:bCs/>
          <w:color w:val="333333"/>
          <w:sz w:val="27"/>
          <w:szCs w:val="27"/>
          <w:lang w:eastAsia="en-GB"/>
        </w:rPr>
        <w:t>How does this discernment take place?</w:t>
      </w:r>
    </w:p>
    <w:p w:rsidR="00F7006B" w:rsidRPr="00F7006B" w:rsidRDefault="00F7006B" w:rsidP="00AE4E5F">
      <w:pPr>
        <w:shd w:val="clear" w:color="auto" w:fill="FFFFFF"/>
        <w:spacing w:before="120" w:after="120" w:line="390" w:lineRule="atLeast"/>
        <w:rPr>
          <w:rFonts w:ascii="Arial" w:eastAsia="Times New Roman" w:hAnsi="Arial" w:cs="Arial"/>
          <w:color w:val="333333"/>
          <w:sz w:val="24"/>
          <w:szCs w:val="24"/>
          <w:lang w:eastAsia="en-GB"/>
        </w:rPr>
      </w:pPr>
      <w:r w:rsidRPr="00F7006B">
        <w:rPr>
          <w:rFonts w:ascii="Arial" w:eastAsia="Times New Roman" w:hAnsi="Arial" w:cs="Arial"/>
          <w:color w:val="333333"/>
          <w:sz w:val="24"/>
          <w:szCs w:val="24"/>
          <w:lang w:eastAsia="en-GB"/>
        </w:rPr>
        <w:t xml:space="preserve">The whole Synodal Process is a prayerful process, rooted in the encounter with Jesus in the prayerful reading of the Sacred Scriptures and through the liturgical life of the Church and </w:t>
      </w:r>
      <w:r w:rsidRPr="00F7006B">
        <w:rPr>
          <w:rFonts w:ascii="Arial" w:eastAsia="Times New Roman" w:hAnsi="Arial" w:cs="Arial"/>
          <w:color w:val="333333"/>
          <w:sz w:val="24"/>
          <w:szCs w:val="24"/>
          <w:lang w:eastAsia="en-GB"/>
        </w:rPr>
        <w:lastRenderedPageBreak/>
        <w:t>inspired by an openness to the movement of the Holy Spirit. Listening to each other is very important. Pope Francis says of the Synod of Bishops gathering itself: “we listen, we discuss in groups but above all we pay attention to what the Spirit has to say to us.”</w:t>
      </w:r>
      <w:r w:rsidRPr="00F7006B">
        <w:rPr>
          <w:rFonts w:ascii="Arial" w:eastAsia="Times New Roman" w:hAnsi="Arial" w:cs="Arial"/>
          <w:color w:val="333333"/>
          <w:sz w:val="18"/>
          <w:szCs w:val="18"/>
          <w:vertAlign w:val="subscript"/>
          <w:lang w:eastAsia="en-GB"/>
        </w:rPr>
        <w:t>4</w:t>
      </w:r>
    </w:p>
    <w:p w:rsidR="00F7006B" w:rsidRPr="00F7006B" w:rsidRDefault="00F7006B" w:rsidP="00AE4E5F">
      <w:pPr>
        <w:shd w:val="clear" w:color="auto" w:fill="FFFFFF"/>
        <w:spacing w:before="120" w:after="120" w:line="390" w:lineRule="atLeast"/>
        <w:rPr>
          <w:rFonts w:ascii="Arial" w:eastAsia="Times New Roman" w:hAnsi="Arial" w:cs="Arial"/>
          <w:color w:val="333333"/>
          <w:sz w:val="24"/>
          <w:szCs w:val="24"/>
          <w:lang w:eastAsia="en-GB"/>
        </w:rPr>
      </w:pPr>
      <w:r w:rsidRPr="00F7006B">
        <w:rPr>
          <w:rFonts w:ascii="Arial" w:eastAsia="Times New Roman" w:hAnsi="Arial" w:cs="Arial"/>
          <w:color w:val="333333"/>
          <w:sz w:val="24"/>
          <w:szCs w:val="24"/>
          <w:lang w:eastAsia="en-GB"/>
        </w:rPr>
        <w:t>This discernment is not an activity done in isolation. Mutual listening and reflection are vital, as what is proposed grows from the unity and conviction that comes from the lived practice of faith within the community.</w:t>
      </w:r>
    </w:p>
    <w:p w:rsidR="00F7006B" w:rsidRPr="00F7006B" w:rsidRDefault="00F7006B" w:rsidP="00AE4E5F">
      <w:pPr>
        <w:shd w:val="clear" w:color="auto" w:fill="FFFFFF"/>
        <w:spacing w:before="120" w:after="120" w:line="390" w:lineRule="atLeast"/>
        <w:rPr>
          <w:rFonts w:ascii="Arial" w:eastAsia="Times New Roman" w:hAnsi="Arial" w:cs="Arial"/>
          <w:color w:val="333333"/>
          <w:sz w:val="24"/>
          <w:szCs w:val="24"/>
          <w:lang w:eastAsia="en-GB"/>
        </w:rPr>
      </w:pPr>
      <w:r w:rsidRPr="00F7006B">
        <w:rPr>
          <w:rFonts w:ascii="Arial" w:eastAsia="Times New Roman" w:hAnsi="Arial" w:cs="Arial"/>
          <w:color w:val="333333"/>
          <w:sz w:val="24"/>
          <w:szCs w:val="24"/>
          <w:lang w:eastAsia="en-GB"/>
        </w:rPr>
        <w:t>The process of spiritual discernment is incumbent on everyone’s part; truly being open to the Spirit and seeing where the local Church is being led in its own context, with the bishops listening carefully to the views of the faithful, and the faithful respecting the authentic role of the bishop as one who governs the local Church and promotes communion.</w:t>
      </w:r>
      <w:r w:rsidRPr="00F7006B">
        <w:rPr>
          <w:rFonts w:ascii="Arial" w:eastAsia="Times New Roman" w:hAnsi="Arial" w:cs="Arial"/>
          <w:color w:val="333333"/>
          <w:sz w:val="18"/>
          <w:szCs w:val="18"/>
          <w:vertAlign w:val="subscript"/>
          <w:lang w:eastAsia="en-GB"/>
        </w:rPr>
        <w:t>5</w:t>
      </w:r>
    </w:p>
    <w:p w:rsidR="00F7006B" w:rsidRPr="00F7006B" w:rsidRDefault="00F7006B" w:rsidP="00AE4E5F">
      <w:pPr>
        <w:shd w:val="clear" w:color="auto" w:fill="FFFFFF"/>
        <w:spacing w:before="120" w:after="120" w:line="390" w:lineRule="atLeast"/>
        <w:rPr>
          <w:rFonts w:ascii="Arial" w:eastAsia="Times New Roman" w:hAnsi="Arial" w:cs="Arial"/>
          <w:color w:val="333333"/>
          <w:sz w:val="24"/>
          <w:szCs w:val="24"/>
          <w:lang w:eastAsia="en-GB"/>
        </w:rPr>
      </w:pPr>
      <w:r w:rsidRPr="00F7006B">
        <w:rPr>
          <w:rFonts w:ascii="Arial" w:eastAsia="Times New Roman" w:hAnsi="Arial" w:cs="Arial"/>
          <w:color w:val="333333"/>
          <w:sz w:val="24"/>
          <w:szCs w:val="24"/>
          <w:lang w:eastAsia="en-GB"/>
        </w:rPr>
        <w:t>Discernment is always orientated towards the mission of the universal Church which continually moves towards Christ, the Way, the Truth and the Life who calls his people into a unity of purpose.</w:t>
      </w:r>
    </w:p>
    <w:p w:rsidR="00F7006B" w:rsidRPr="00F7006B" w:rsidRDefault="00F7006B" w:rsidP="00F7006B">
      <w:pPr>
        <w:shd w:val="clear" w:color="auto" w:fill="FFFFFF"/>
        <w:spacing w:before="300" w:after="90"/>
        <w:jc w:val="left"/>
        <w:outlineLvl w:val="3"/>
        <w:rPr>
          <w:rFonts w:ascii="Lato" w:eastAsia="Times New Roman" w:hAnsi="Lato" w:cs="Times New Roman"/>
          <w:b/>
          <w:bCs/>
          <w:color w:val="333333"/>
          <w:sz w:val="27"/>
          <w:szCs w:val="27"/>
          <w:lang w:eastAsia="en-GB"/>
        </w:rPr>
      </w:pPr>
      <w:r w:rsidRPr="00F7006B">
        <w:rPr>
          <w:rFonts w:ascii="Lato" w:eastAsia="Times New Roman" w:hAnsi="Lato" w:cs="Times New Roman"/>
          <w:b/>
          <w:bCs/>
          <w:color w:val="333333"/>
          <w:sz w:val="27"/>
          <w:szCs w:val="27"/>
          <w:lang w:eastAsia="en-GB"/>
        </w:rPr>
        <w:t>What is the role of the Bishops’ Conference?</w:t>
      </w:r>
    </w:p>
    <w:p w:rsidR="00F7006B" w:rsidRPr="00F7006B" w:rsidRDefault="00F7006B" w:rsidP="00AE4E5F">
      <w:pPr>
        <w:shd w:val="clear" w:color="auto" w:fill="FFFFFF"/>
        <w:spacing w:before="120" w:after="120" w:line="390" w:lineRule="atLeast"/>
        <w:rPr>
          <w:rFonts w:ascii="Arial" w:eastAsia="Times New Roman" w:hAnsi="Arial" w:cs="Arial"/>
          <w:color w:val="333333"/>
          <w:sz w:val="24"/>
          <w:szCs w:val="24"/>
          <w:lang w:eastAsia="en-GB"/>
        </w:rPr>
      </w:pPr>
      <w:r w:rsidRPr="00F7006B">
        <w:rPr>
          <w:rFonts w:ascii="Arial" w:eastAsia="Times New Roman" w:hAnsi="Arial" w:cs="Arial"/>
          <w:color w:val="333333"/>
          <w:sz w:val="24"/>
          <w:szCs w:val="24"/>
          <w:lang w:eastAsia="en-GB"/>
        </w:rPr>
        <w:t>The role of the Bishops’ Conference in this process is twofold. First, its Secretariat will act as an administrative point of contact for the dioceses to liaise with for the production of the documentation for the bishops, as a whole, to consider. However, and more importantly, the bishops acting together, effect a common discernment of the points raised in the particular Churches for the whole of the territory.</w:t>
      </w:r>
      <w:r w:rsidRPr="00F7006B">
        <w:rPr>
          <w:rFonts w:ascii="Arial" w:eastAsia="Times New Roman" w:hAnsi="Arial" w:cs="Arial"/>
          <w:color w:val="333333"/>
          <w:sz w:val="18"/>
          <w:szCs w:val="18"/>
          <w:vertAlign w:val="subscript"/>
          <w:lang w:eastAsia="en-GB"/>
        </w:rPr>
        <w:t>6</w:t>
      </w:r>
    </w:p>
    <w:p w:rsidR="00F7006B" w:rsidRPr="00F7006B" w:rsidRDefault="00F7006B" w:rsidP="00AE4E5F">
      <w:pPr>
        <w:shd w:val="clear" w:color="auto" w:fill="FFFFFF"/>
        <w:spacing w:before="120" w:after="120" w:line="390" w:lineRule="atLeast"/>
        <w:rPr>
          <w:rFonts w:ascii="Arial" w:eastAsia="Times New Roman" w:hAnsi="Arial" w:cs="Arial"/>
          <w:color w:val="333333"/>
          <w:sz w:val="24"/>
          <w:szCs w:val="24"/>
          <w:lang w:eastAsia="en-GB"/>
        </w:rPr>
      </w:pPr>
      <w:r w:rsidRPr="00F7006B">
        <w:rPr>
          <w:rFonts w:ascii="Arial" w:eastAsia="Times New Roman" w:hAnsi="Arial" w:cs="Arial"/>
          <w:color w:val="333333"/>
          <w:sz w:val="24"/>
          <w:szCs w:val="24"/>
          <w:lang w:eastAsia="en-GB"/>
        </w:rPr>
        <w:t>The bishops, whilst remaining the authentic pastors of their particular Churches and speaking on behalf of them, also work collectively to summarise the “links of culture, tradition and common history, as well as the interconnection of social relations among citizens of the same nation.”</w:t>
      </w:r>
      <w:r w:rsidRPr="00F7006B">
        <w:rPr>
          <w:rFonts w:ascii="Arial" w:eastAsia="Times New Roman" w:hAnsi="Arial" w:cs="Arial"/>
          <w:color w:val="333333"/>
          <w:sz w:val="18"/>
          <w:szCs w:val="18"/>
          <w:vertAlign w:val="subscript"/>
          <w:lang w:eastAsia="en-GB"/>
        </w:rPr>
        <w:t>7</w:t>
      </w:r>
    </w:p>
    <w:p w:rsidR="00F7006B" w:rsidRPr="00F7006B" w:rsidRDefault="00F7006B" w:rsidP="00AE4E5F">
      <w:pPr>
        <w:shd w:val="clear" w:color="auto" w:fill="FFFFFF"/>
        <w:spacing w:before="120" w:after="120" w:line="390" w:lineRule="atLeast"/>
        <w:rPr>
          <w:rFonts w:ascii="Arial" w:eastAsia="Times New Roman" w:hAnsi="Arial" w:cs="Arial"/>
          <w:color w:val="333333"/>
          <w:sz w:val="24"/>
          <w:szCs w:val="24"/>
          <w:lang w:eastAsia="en-GB"/>
        </w:rPr>
      </w:pPr>
      <w:r w:rsidRPr="00F7006B">
        <w:rPr>
          <w:rFonts w:ascii="Arial" w:eastAsia="Times New Roman" w:hAnsi="Arial" w:cs="Arial"/>
          <w:color w:val="333333"/>
          <w:sz w:val="24"/>
          <w:szCs w:val="24"/>
          <w:lang w:eastAsia="en-GB"/>
        </w:rPr>
        <w:t>It is for this reason that this part of the Diocesan Phase of the Synodal pathway has great importance.</w:t>
      </w:r>
    </w:p>
    <w:p w:rsidR="00F7006B" w:rsidRPr="00F7006B" w:rsidRDefault="00F7006B" w:rsidP="00AE4E5F">
      <w:pPr>
        <w:shd w:val="clear" w:color="auto" w:fill="FFFFFF"/>
        <w:spacing w:before="300" w:after="90"/>
        <w:outlineLvl w:val="3"/>
        <w:rPr>
          <w:rFonts w:ascii="Lato" w:eastAsia="Times New Roman" w:hAnsi="Lato" w:cs="Times New Roman"/>
          <w:b/>
          <w:bCs/>
          <w:color w:val="333333"/>
          <w:sz w:val="27"/>
          <w:szCs w:val="27"/>
          <w:lang w:eastAsia="en-GB"/>
        </w:rPr>
      </w:pPr>
      <w:r w:rsidRPr="00F7006B">
        <w:rPr>
          <w:rFonts w:ascii="Lato" w:eastAsia="Times New Roman" w:hAnsi="Lato" w:cs="Times New Roman"/>
          <w:b/>
          <w:bCs/>
          <w:color w:val="333333"/>
          <w:sz w:val="27"/>
          <w:szCs w:val="27"/>
          <w:lang w:eastAsia="en-GB"/>
        </w:rPr>
        <w:t>Is this the best time to do this, after all we have experienced in the past 15 months?</w:t>
      </w:r>
    </w:p>
    <w:p w:rsidR="00F7006B" w:rsidRPr="00F7006B" w:rsidRDefault="00F7006B" w:rsidP="00AE4E5F">
      <w:pPr>
        <w:shd w:val="clear" w:color="auto" w:fill="FFFFFF"/>
        <w:spacing w:before="120" w:after="120" w:line="390" w:lineRule="atLeast"/>
        <w:rPr>
          <w:rFonts w:ascii="Arial" w:eastAsia="Times New Roman" w:hAnsi="Arial" w:cs="Arial"/>
          <w:color w:val="333333"/>
          <w:sz w:val="24"/>
          <w:szCs w:val="24"/>
          <w:lang w:eastAsia="en-GB"/>
        </w:rPr>
      </w:pPr>
      <w:r w:rsidRPr="00F7006B">
        <w:rPr>
          <w:rFonts w:ascii="Arial" w:eastAsia="Times New Roman" w:hAnsi="Arial" w:cs="Arial"/>
          <w:color w:val="333333"/>
          <w:sz w:val="24"/>
          <w:szCs w:val="24"/>
          <w:lang w:eastAsia="en-GB"/>
        </w:rPr>
        <w:t>Pope Francis has called this moment in human history as “a time of reckoning.”</w:t>
      </w:r>
      <w:r w:rsidRPr="00F7006B">
        <w:rPr>
          <w:rFonts w:ascii="Arial" w:eastAsia="Times New Roman" w:hAnsi="Arial" w:cs="Arial"/>
          <w:color w:val="333333"/>
          <w:sz w:val="18"/>
          <w:szCs w:val="18"/>
          <w:vertAlign w:val="subscript"/>
          <w:lang w:eastAsia="en-GB"/>
        </w:rPr>
        <w:t>8</w:t>
      </w:r>
    </w:p>
    <w:p w:rsidR="00F7006B" w:rsidRPr="00F7006B" w:rsidRDefault="00F7006B" w:rsidP="00AE4E5F">
      <w:pPr>
        <w:shd w:val="clear" w:color="auto" w:fill="FFFFFF"/>
        <w:spacing w:before="120" w:after="120" w:line="390" w:lineRule="atLeast"/>
        <w:rPr>
          <w:rFonts w:ascii="Arial" w:eastAsia="Times New Roman" w:hAnsi="Arial" w:cs="Arial"/>
          <w:color w:val="333333"/>
          <w:sz w:val="24"/>
          <w:szCs w:val="24"/>
          <w:lang w:eastAsia="en-GB"/>
        </w:rPr>
      </w:pPr>
      <w:r w:rsidRPr="00F7006B">
        <w:rPr>
          <w:rFonts w:ascii="Arial" w:eastAsia="Times New Roman" w:hAnsi="Arial" w:cs="Arial"/>
          <w:color w:val="333333"/>
          <w:sz w:val="24"/>
          <w:szCs w:val="24"/>
          <w:lang w:eastAsia="en-GB"/>
        </w:rPr>
        <w:t>The Synodal Process is for the whole Church not just in England and Wales and the themes from the title of the Synod can help in understanding why now is the right time to consider this:</w:t>
      </w:r>
    </w:p>
    <w:p w:rsidR="00F7006B" w:rsidRPr="00F7006B" w:rsidRDefault="00F7006B" w:rsidP="00AE4E5F">
      <w:pPr>
        <w:shd w:val="clear" w:color="auto" w:fill="FFFFFF"/>
        <w:spacing w:before="120" w:after="120" w:line="390" w:lineRule="atLeast"/>
        <w:rPr>
          <w:rFonts w:ascii="Arial" w:eastAsia="Times New Roman" w:hAnsi="Arial" w:cs="Arial"/>
          <w:color w:val="333333"/>
          <w:sz w:val="24"/>
          <w:szCs w:val="24"/>
          <w:lang w:eastAsia="en-GB"/>
        </w:rPr>
      </w:pPr>
      <w:r w:rsidRPr="00F7006B">
        <w:rPr>
          <w:rFonts w:ascii="Arial" w:eastAsia="Times New Roman" w:hAnsi="Arial" w:cs="Arial"/>
          <w:b/>
          <w:bCs/>
          <w:color w:val="333333"/>
          <w:sz w:val="24"/>
          <w:szCs w:val="24"/>
          <w:lang w:eastAsia="en-GB"/>
        </w:rPr>
        <w:t>a. Communion</w:t>
      </w:r>
      <w:r w:rsidRPr="00F7006B">
        <w:rPr>
          <w:rFonts w:ascii="Arial" w:eastAsia="Times New Roman" w:hAnsi="Arial" w:cs="Arial"/>
          <w:color w:val="333333"/>
          <w:sz w:val="24"/>
          <w:szCs w:val="24"/>
          <w:lang w:eastAsia="en-GB"/>
        </w:rPr>
        <w:t xml:space="preserve"> – bringing the people together as communities in the local Church begins this prayerful insight into the ways of the Holy Spirit. When the Church gathers for the </w:t>
      </w:r>
      <w:r w:rsidRPr="00F7006B">
        <w:rPr>
          <w:rFonts w:ascii="Arial" w:eastAsia="Times New Roman" w:hAnsi="Arial" w:cs="Arial"/>
          <w:color w:val="333333"/>
          <w:sz w:val="24"/>
          <w:szCs w:val="24"/>
          <w:lang w:eastAsia="en-GB"/>
        </w:rPr>
        <w:lastRenderedPageBreak/>
        <w:t>Eucharist, and what flows from it, is when the necessary self-understanding of the mission of the Church is best understood. Thus the dialogue at this level is rooted in the life of the ecclesial communities and parishes.</w:t>
      </w:r>
    </w:p>
    <w:p w:rsidR="00F7006B" w:rsidRPr="00F7006B" w:rsidRDefault="00F7006B" w:rsidP="00AE4E5F">
      <w:pPr>
        <w:shd w:val="clear" w:color="auto" w:fill="FFFFFF"/>
        <w:spacing w:before="120" w:after="120" w:line="390" w:lineRule="atLeast"/>
        <w:rPr>
          <w:rFonts w:ascii="Arial" w:eastAsia="Times New Roman" w:hAnsi="Arial" w:cs="Arial"/>
          <w:color w:val="333333"/>
          <w:sz w:val="24"/>
          <w:szCs w:val="24"/>
          <w:lang w:eastAsia="en-GB"/>
        </w:rPr>
      </w:pPr>
      <w:r w:rsidRPr="00F7006B">
        <w:rPr>
          <w:rFonts w:ascii="Arial" w:eastAsia="Times New Roman" w:hAnsi="Arial" w:cs="Arial"/>
          <w:b/>
          <w:bCs/>
          <w:color w:val="333333"/>
          <w:sz w:val="24"/>
          <w:szCs w:val="24"/>
          <w:lang w:eastAsia="en-GB"/>
        </w:rPr>
        <w:t>b. Participation</w:t>
      </w:r>
      <w:r w:rsidRPr="00F7006B">
        <w:rPr>
          <w:rFonts w:ascii="Arial" w:eastAsia="Times New Roman" w:hAnsi="Arial" w:cs="Arial"/>
          <w:color w:val="333333"/>
          <w:sz w:val="24"/>
          <w:szCs w:val="24"/>
          <w:lang w:eastAsia="en-GB"/>
        </w:rPr>
        <w:t> – the reflections that the local Churches and communities are undertaking regarding the past 15 months of pandemic form the context of how the Catholic Church in England and Wales looks forward, not backwards, to revitalising its mission of bringing the Good News to all. The gentle call of invitation to the full practice of Catholic life, with the Eucharist at the centre of all the Church does, is an integral part of the “walking together.”</w:t>
      </w:r>
    </w:p>
    <w:p w:rsidR="00F7006B" w:rsidRPr="00F7006B" w:rsidRDefault="00F7006B" w:rsidP="00AE4E5F">
      <w:pPr>
        <w:shd w:val="clear" w:color="auto" w:fill="FFFFFF"/>
        <w:spacing w:before="120" w:after="120" w:line="390" w:lineRule="atLeast"/>
        <w:rPr>
          <w:rFonts w:ascii="Arial" w:eastAsia="Times New Roman" w:hAnsi="Arial" w:cs="Arial"/>
          <w:color w:val="333333"/>
          <w:sz w:val="24"/>
          <w:szCs w:val="24"/>
          <w:lang w:eastAsia="en-GB"/>
        </w:rPr>
      </w:pPr>
      <w:r w:rsidRPr="00F7006B">
        <w:rPr>
          <w:rFonts w:ascii="Arial" w:eastAsia="Times New Roman" w:hAnsi="Arial" w:cs="Arial"/>
          <w:b/>
          <w:bCs/>
          <w:color w:val="333333"/>
          <w:sz w:val="24"/>
          <w:szCs w:val="24"/>
          <w:lang w:eastAsia="en-GB"/>
        </w:rPr>
        <w:t>c. Mission</w:t>
      </w:r>
      <w:r w:rsidRPr="00F7006B">
        <w:rPr>
          <w:rFonts w:ascii="Arial" w:eastAsia="Times New Roman" w:hAnsi="Arial" w:cs="Arial"/>
          <w:color w:val="333333"/>
          <w:sz w:val="24"/>
          <w:szCs w:val="24"/>
          <w:lang w:eastAsia="en-GB"/>
        </w:rPr>
        <w:t> – understanding the local situation will feed necessarily into an overview of the mission in the whole diocese. Like the tesserae of a mosaic, the picture is built up of the needs for renewal so that mission to all people is firmly rooted in the life of the local community who gather, by gentle invitation by the Lord, to worship him, to be sanctified by him and to exercise both an individual and collective prophetic voice.</w:t>
      </w:r>
    </w:p>
    <w:p w:rsidR="00F7006B" w:rsidRPr="00F7006B" w:rsidRDefault="00F7006B" w:rsidP="00AE4E5F">
      <w:pPr>
        <w:shd w:val="clear" w:color="auto" w:fill="FFFFFF"/>
        <w:spacing w:before="120" w:after="120" w:line="390" w:lineRule="atLeast"/>
        <w:rPr>
          <w:rFonts w:ascii="Arial" w:eastAsia="Times New Roman" w:hAnsi="Arial" w:cs="Arial"/>
          <w:color w:val="333333"/>
          <w:sz w:val="24"/>
          <w:szCs w:val="24"/>
          <w:lang w:eastAsia="en-GB"/>
        </w:rPr>
      </w:pPr>
      <w:r w:rsidRPr="00F7006B">
        <w:rPr>
          <w:rFonts w:ascii="Arial" w:eastAsia="Times New Roman" w:hAnsi="Arial" w:cs="Arial"/>
          <w:color w:val="333333"/>
          <w:sz w:val="24"/>
          <w:szCs w:val="24"/>
          <w:lang w:eastAsia="en-GB"/>
        </w:rPr>
        <w:t>The Synodal Process is a pilgrimage of the whole People of God in discerning the way the Church needs to be in its localities and worldwide at this moment in time. Anyone who has been on a pilgrimage knows that the journey there is not just travelling, but an integral part of the whole. The Synod in 2023 will be an important moment in the pilgrimage but not an end point. All who commit this process to prayer, open their hearts to the Holy Spirit and speak with confidence and engage in mutual listening will assist the Church like a pilgrim “… [to go] out from herself, open(s) herself to a new horizon, and when she comes home, she is no longer the same, so her home won’t be the same.”</w:t>
      </w:r>
      <w:r w:rsidRPr="00F7006B">
        <w:rPr>
          <w:rFonts w:ascii="Arial" w:eastAsia="Times New Roman" w:hAnsi="Arial" w:cs="Arial"/>
          <w:color w:val="333333"/>
          <w:sz w:val="18"/>
          <w:szCs w:val="18"/>
          <w:vertAlign w:val="subscript"/>
          <w:lang w:eastAsia="en-GB"/>
        </w:rPr>
        <w:t>9</w:t>
      </w:r>
    </w:p>
    <w:p w:rsidR="00AE4E5F" w:rsidRDefault="00F7006B" w:rsidP="00AE4E5F">
      <w:pPr>
        <w:shd w:val="clear" w:color="auto" w:fill="FFFFFF"/>
        <w:spacing w:before="120" w:after="120" w:line="390" w:lineRule="atLeast"/>
        <w:rPr>
          <w:rFonts w:ascii="Arial" w:eastAsia="Times New Roman" w:hAnsi="Arial" w:cs="Arial"/>
          <w:b/>
          <w:bCs/>
          <w:color w:val="333333"/>
          <w:sz w:val="24"/>
          <w:szCs w:val="24"/>
          <w:lang w:eastAsia="en-GB"/>
        </w:rPr>
      </w:pPr>
      <w:r w:rsidRPr="00F7006B">
        <w:rPr>
          <w:rFonts w:ascii="Arial" w:eastAsia="Times New Roman" w:hAnsi="Arial" w:cs="Arial"/>
          <w:b/>
          <w:bCs/>
          <w:color w:val="333333"/>
          <w:sz w:val="24"/>
          <w:szCs w:val="24"/>
          <w:lang w:eastAsia="en-GB"/>
        </w:rPr>
        <w:t>Rev. Canon Christopher Thomas</w:t>
      </w:r>
      <w:r w:rsidR="00AE4E5F">
        <w:rPr>
          <w:rFonts w:ascii="Arial" w:eastAsia="Times New Roman" w:hAnsi="Arial" w:cs="Arial"/>
          <w:b/>
          <w:bCs/>
          <w:color w:val="333333"/>
          <w:sz w:val="24"/>
          <w:szCs w:val="24"/>
          <w:lang w:eastAsia="en-GB"/>
        </w:rPr>
        <w:t>, General Secretary CBCEW</w:t>
      </w:r>
    </w:p>
    <w:p w:rsidR="00F7006B" w:rsidRPr="00F7006B" w:rsidRDefault="00F7006B" w:rsidP="00AE4E5F">
      <w:pPr>
        <w:shd w:val="clear" w:color="auto" w:fill="FFFFFF"/>
        <w:spacing w:before="120" w:after="120" w:line="390" w:lineRule="atLeast"/>
        <w:rPr>
          <w:rFonts w:ascii="Arial" w:eastAsia="Times New Roman" w:hAnsi="Arial" w:cs="Arial"/>
          <w:color w:val="333333"/>
          <w:sz w:val="24"/>
          <w:szCs w:val="24"/>
          <w:lang w:eastAsia="en-GB"/>
        </w:rPr>
      </w:pPr>
      <w:r w:rsidRPr="00F7006B">
        <w:rPr>
          <w:rFonts w:ascii="Arial" w:eastAsia="Times New Roman" w:hAnsi="Arial" w:cs="Arial"/>
          <w:b/>
          <w:bCs/>
          <w:color w:val="333333"/>
          <w:sz w:val="24"/>
          <w:szCs w:val="24"/>
          <w:lang w:eastAsia="en-GB"/>
        </w:rPr>
        <w:br/>
      </w:r>
      <w:r w:rsidRPr="00F7006B">
        <w:rPr>
          <w:rFonts w:ascii="Arial" w:eastAsia="Times New Roman" w:hAnsi="Arial" w:cs="Arial"/>
          <w:i/>
          <w:iCs/>
          <w:color w:val="333333"/>
          <w:sz w:val="24"/>
          <w:szCs w:val="24"/>
          <w:lang w:eastAsia="en-GB"/>
        </w:rPr>
        <w:t>19 July 2021</w:t>
      </w:r>
    </w:p>
    <w:p w:rsidR="00F7006B" w:rsidRPr="00AE4E5F" w:rsidRDefault="00F7006B" w:rsidP="00AE4E5F">
      <w:pPr>
        <w:shd w:val="clear" w:color="auto" w:fill="FFFFFF"/>
        <w:jc w:val="left"/>
        <w:outlineLvl w:val="3"/>
        <w:rPr>
          <w:rFonts w:ascii="Lato" w:eastAsia="Times New Roman" w:hAnsi="Lato" w:cs="Times New Roman"/>
          <w:b/>
          <w:bCs/>
          <w:color w:val="333333"/>
          <w:sz w:val="24"/>
          <w:szCs w:val="20"/>
          <w:lang w:eastAsia="en-GB"/>
        </w:rPr>
      </w:pPr>
      <w:r w:rsidRPr="00AE4E5F">
        <w:rPr>
          <w:rFonts w:ascii="Lato" w:eastAsia="Times New Roman" w:hAnsi="Lato" w:cs="Times New Roman"/>
          <w:b/>
          <w:bCs/>
          <w:color w:val="333333"/>
          <w:sz w:val="24"/>
          <w:szCs w:val="20"/>
          <w:lang w:eastAsia="en-GB"/>
        </w:rPr>
        <w:t>Footnotes</w:t>
      </w:r>
    </w:p>
    <w:p w:rsidR="00AE4E5F" w:rsidRPr="00AE4E5F" w:rsidRDefault="00AE4E5F" w:rsidP="00AE4E5F">
      <w:pPr>
        <w:shd w:val="clear" w:color="auto" w:fill="FFFFFF"/>
        <w:jc w:val="left"/>
        <w:outlineLvl w:val="3"/>
        <w:rPr>
          <w:rFonts w:ascii="Lato" w:eastAsia="Times New Roman" w:hAnsi="Lato" w:cs="Times New Roman"/>
          <w:b/>
          <w:bCs/>
          <w:color w:val="333333"/>
          <w:sz w:val="24"/>
          <w:szCs w:val="20"/>
          <w:lang w:eastAsia="en-GB"/>
        </w:rPr>
      </w:pPr>
    </w:p>
    <w:p w:rsidR="00F7006B" w:rsidRPr="00AE4E5F" w:rsidRDefault="00F7006B" w:rsidP="00AE4E5F">
      <w:pPr>
        <w:shd w:val="clear" w:color="auto" w:fill="FFFFFF"/>
        <w:jc w:val="left"/>
        <w:rPr>
          <w:rFonts w:ascii="Arial" w:eastAsia="Times New Roman" w:hAnsi="Arial" w:cs="Arial"/>
          <w:color w:val="333333"/>
          <w:sz w:val="24"/>
          <w:szCs w:val="20"/>
          <w:lang w:eastAsia="en-GB"/>
        </w:rPr>
      </w:pPr>
      <w:r w:rsidRPr="00AE4E5F">
        <w:rPr>
          <w:rFonts w:ascii="Arial" w:eastAsia="Times New Roman" w:hAnsi="Arial" w:cs="Arial"/>
          <w:color w:val="333333"/>
          <w:sz w:val="24"/>
          <w:szCs w:val="20"/>
          <w:vertAlign w:val="superscript"/>
          <w:lang w:eastAsia="en-GB"/>
        </w:rPr>
        <w:t>1</w:t>
      </w:r>
      <w:r w:rsidRPr="00AE4E5F">
        <w:rPr>
          <w:rFonts w:ascii="Arial" w:eastAsia="Times New Roman" w:hAnsi="Arial" w:cs="Arial"/>
          <w:color w:val="333333"/>
          <w:sz w:val="24"/>
          <w:szCs w:val="20"/>
          <w:lang w:eastAsia="en-GB"/>
        </w:rPr>
        <w:t> Pope Francis, </w:t>
      </w:r>
      <w:r w:rsidRPr="00AE4E5F">
        <w:rPr>
          <w:rFonts w:ascii="Arial" w:eastAsia="Times New Roman" w:hAnsi="Arial" w:cs="Arial"/>
          <w:i/>
          <w:iCs/>
          <w:color w:val="333333"/>
          <w:sz w:val="24"/>
          <w:szCs w:val="20"/>
          <w:lang w:eastAsia="en-GB"/>
        </w:rPr>
        <w:t>Let us Dream: the Path to a Better Future</w:t>
      </w:r>
      <w:r w:rsidRPr="00AE4E5F">
        <w:rPr>
          <w:rFonts w:ascii="Arial" w:eastAsia="Times New Roman" w:hAnsi="Arial" w:cs="Arial"/>
          <w:color w:val="333333"/>
          <w:sz w:val="24"/>
          <w:szCs w:val="20"/>
          <w:lang w:eastAsia="en-GB"/>
        </w:rPr>
        <w:t>, Simon and Schuster, London, 2020, page 93</w:t>
      </w:r>
    </w:p>
    <w:p w:rsidR="00F7006B" w:rsidRPr="00AE4E5F" w:rsidRDefault="00F7006B" w:rsidP="00AE4E5F">
      <w:pPr>
        <w:shd w:val="clear" w:color="auto" w:fill="FFFFFF"/>
        <w:jc w:val="left"/>
        <w:rPr>
          <w:rFonts w:ascii="Arial" w:eastAsia="Times New Roman" w:hAnsi="Arial" w:cs="Arial"/>
          <w:color w:val="333333"/>
          <w:sz w:val="24"/>
          <w:szCs w:val="20"/>
          <w:lang w:eastAsia="en-GB"/>
        </w:rPr>
      </w:pPr>
      <w:r w:rsidRPr="00AE4E5F">
        <w:rPr>
          <w:rFonts w:ascii="Arial" w:eastAsia="Times New Roman" w:hAnsi="Arial" w:cs="Arial"/>
          <w:color w:val="333333"/>
          <w:sz w:val="24"/>
          <w:szCs w:val="20"/>
          <w:vertAlign w:val="superscript"/>
          <w:lang w:eastAsia="en-GB"/>
        </w:rPr>
        <w:t>2</w:t>
      </w:r>
      <w:r w:rsidRPr="00AE4E5F">
        <w:rPr>
          <w:rFonts w:ascii="Arial" w:eastAsia="Times New Roman" w:hAnsi="Arial" w:cs="Arial"/>
          <w:color w:val="333333"/>
          <w:sz w:val="24"/>
          <w:szCs w:val="20"/>
          <w:lang w:eastAsia="en-GB"/>
        </w:rPr>
        <w:t> </w:t>
      </w:r>
      <w:r w:rsidRPr="00AE4E5F">
        <w:rPr>
          <w:rFonts w:ascii="Arial" w:eastAsia="Times New Roman" w:hAnsi="Arial" w:cs="Arial"/>
          <w:i/>
          <w:iCs/>
          <w:color w:val="333333"/>
          <w:sz w:val="24"/>
          <w:szCs w:val="20"/>
          <w:lang w:eastAsia="en-GB"/>
        </w:rPr>
        <w:t>ibid</w:t>
      </w:r>
      <w:r w:rsidRPr="00AE4E5F">
        <w:rPr>
          <w:rFonts w:ascii="Arial" w:eastAsia="Times New Roman" w:hAnsi="Arial" w:cs="Arial"/>
          <w:color w:val="333333"/>
          <w:sz w:val="24"/>
          <w:szCs w:val="20"/>
          <w:lang w:eastAsia="en-GB"/>
        </w:rPr>
        <w:t> page 84-85</w:t>
      </w:r>
    </w:p>
    <w:p w:rsidR="00F7006B" w:rsidRPr="00AE4E5F" w:rsidRDefault="00F7006B" w:rsidP="00AE4E5F">
      <w:pPr>
        <w:shd w:val="clear" w:color="auto" w:fill="FFFFFF"/>
        <w:jc w:val="left"/>
        <w:rPr>
          <w:rFonts w:ascii="Arial" w:eastAsia="Times New Roman" w:hAnsi="Arial" w:cs="Arial"/>
          <w:color w:val="333333"/>
          <w:sz w:val="24"/>
          <w:szCs w:val="20"/>
          <w:lang w:eastAsia="en-GB"/>
        </w:rPr>
      </w:pPr>
      <w:r w:rsidRPr="00AE4E5F">
        <w:rPr>
          <w:rFonts w:ascii="Arial" w:eastAsia="Times New Roman" w:hAnsi="Arial" w:cs="Arial"/>
          <w:color w:val="333333"/>
          <w:sz w:val="24"/>
          <w:szCs w:val="20"/>
          <w:vertAlign w:val="superscript"/>
          <w:lang w:eastAsia="en-GB"/>
        </w:rPr>
        <w:t>3</w:t>
      </w:r>
      <w:r w:rsidRPr="00AE4E5F">
        <w:rPr>
          <w:rFonts w:ascii="Arial" w:eastAsia="Times New Roman" w:hAnsi="Arial" w:cs="Arial"/>
          <w:color w:val="333333"/>
          <w:sz w:val="24"/>
          <w:szCs w:val="20"/>
          <w:lang w:eastAsia="en-GB"/>
        </w:rPr>
        <w:t> </w:t>
      </w:r>
      <w:r w:rsidRPr="00AE4E5F">
        <w:rPr>
          <w:rFonts w:ascii="Arial" w:eastAsia="Times New Roman" w:hAnsi="Arial" w:cs="Arial"/>
          <w:i/>
          <w:iCs/>
          <w:color w:val="333333"/>
          <w:sz w:val="24"/>
          <w:szCs w:val="20"/>
          <w:lang w:eastAsia="en-GB"/>
        </w:rPr>
        <w:t>ibid</w:t>
      </w:r>
      <w:r w:rsidRPr="00AE4E5F">
        <w:rPr>
          <w:rFonts w:ascii="Arial" w:eastAsia="Times New Roman" w:hAnsi="Arial" w:cs="Arial"/>
          <w:color w:val="333333"/>
          <w:sz w:val="24"/>
          <w:szCs w:val="20"/>
          <w:lang w:eastAsia="en-GB"/>
        </w:rPr>
        <w:t> page 86</w:t>
      </w:r>
    </w:p>
    <w:p w:rsidR="00F7006B" w:rsidRPr="00AE4E5F" w:rsidRDefault="00F7006B" w:rsidP="00AE4E5F">
      <w:pPr>
        <w:shd w:val="clear" w:color="auto" w:fill="FFFFFF"/>
        <w:jc w:val="left"/>
        <w:rPr>
          <w:rFonts w:ascii="Arial" w:eastAsia="Times New Roman" w:hAnsi="Arial" w:cs="Arial"/>
          <w:color w:val="333333"/>
          <w:sz w:val="24"/>
          <w:szCs w:val="20"/>
          <w:lang w:eastAsia="en-GB"/>
        </w:rPr>
      </w:pPr>
      <w:r w:rsidRPr="00AE4E5F">
        <w:rPr>
          <w:rFonts w:ascii="Arial" w:eastAsia="Times New Roman" w:hAnsi="Arial" w:cs="Arial"/>
          <w:color w:val="333333"/>
          <w:sz w:val="24"/>
          <w:szCs w:val="20"/>
          <w:vertAlign w:val="superscript"/>
          <w:lang w:eastAsia="en-GB"/>
        </w:rPr>
        <w:t>4</w:t>
      </w:r>
      <w:r w:rsidRPr="00AE4E5F">
        <w:rPr>
          <w:rFonts w:ascii="Arial" w:eastAsia="Times New Roman" w:hAnsi="Arial" w:cs="Arial"/>
          <w:color w:val="333333"/>
          <w:sz w:val="24"/>
          <w:szCs w:val="20"/>
          <w:lang w:eastAsia="en-GB"/>
        </w:rPr>
        <w:t> </w:t>
      </w:r>
      <w:r w:rsidRPr="00AE4E5F">
        <w:rPr>
          <w:rFonts w:ascii="Arial" w:eastAsia="Times New Roman" w:hAnsi="Arial" w:cs="Arial"/>
          <w:i/>
          <w:iCs/>
          <w:color w:val="333333"/>
          <w:sz w:val="24"/>
          <w:szCs w:val="20"/>
          <w:lang w:eastAsia="en-GB"/>
        </w:rPr>
        <w:t>ibid</w:t>
      </w:r>
      <w:r w:rsidRPr="00AE4E5F">
        <w:rPr>
          <w:rFonts w:ascii="Arial" w:eastAsia="Times New Roman" w:hAnsi="Arial" w:cs="Arial"/>
          <w:color w:val="333333"/>
          <w:sz w:val="24"/>
          <w:szCs w:val="20"/>
          <w:lang w:eastAsia="en-GB"/>
        </w:rPr>
        <w:t> page 85</w:t>
      </w:r>
    </w:p>
    <w:p w:rsidR="00F7006B" w:rsidRPr="00AE4E5F" w:rsidRDefault="00F7006B" w:rsidP="00AE4E5F">
      <w:pPr>
        <w:shd w:val="clear" w:color="auto" w:fill="FFFFFF"/>
        <w:jc w:val="left"/>
        <w:rPr>
          <w:rFonts w:ascii="Arial" w:eastAsia="Times New Roman" w:hAnsi="Arial" w:cs="Arial"/>
          <w:color w:val="333333"/>
          <w:sz w:val="24"/>
          <w:szCs w:val="20"/>
          <w:lang w:eastAsia="en-GB"/>
        </w:rPr>
      </w:pPr>
      <w:r w:rsidRPr="00AE4E5F">
        <w:rPr>
          <w:rFonts w:ascii="Arial" w:eastAsia="Times New Roman" w:hAnsi="Arial" w:cs="Arial"/>
          <w:color w:val="333333"/>
          <w:sz w:val="24"/>
          <w:szCs w:val="20"/>
          <w:vertAlign w:val="superscript"/>
          <w:lang w:eastAsia="en-GB"/>
        </w:rPr>
        <w:t>5</w:t>
      </w:r>
      <w:r w:rsidRPr="00AE4E5F">
        <w:rPr>
          <w:rFonts w:ascii="Arial" w:eastAsia="Times New Roman" w:hAnsi="Arial" w:cs="Arial"/>
          <w:color w:val="333333"/>
          <w:sz w:val="24"/>
          <w:szCs w:val="20"/>
          <w:lang w:eastAsia="en-GB"/>
        </w:rPr>
        <w:t> Pope St John Paul II, Apostolic Exhortation, </w:t>
      </w:r>
      <w:hyperlink r:id="rId8" w:tgtFrame="_blank" w:history="1">
        <w:r w:rsidRPr="00AE4E5F">
          <w:rPr>
            <w:rFonts w:ascii="Arial" w:eastAsia="Times New Roman" w:hAnsi="Arial" w:cs="Arial"/>
            <w:i/>
            <w:iCs/>
            <w:color w:val="337AB7"/>
            <w:sz w:val="24"/>
            <w:szCs w:val="20"/>
            <w:lang w:eastAsia="en-GB"/>
          </w:rPr>
          <w:t>Pastores Gregis</w:t>
        </w:r>
      </w:hyperlink>
      <w:r w:rsidRPr="00AE4E5F">
        <w:rPr>
          <w:rFonts w:ascii="Arial" w:eastAsia="Times New Roman" w:hAnsi="Arial" w:cs="Arial"/>
          <w:color w:val="333333"/>
          <w:sz w:val="24"/>
          <w:szCs w:val="20"/>
          <w:lang w:eastAsia="en-GB"/>
        </w:rPr>
        <w:t>, 16 October 2003 §44</w:t>
      </w:r>
    </w:p>
    <w:p w:rsidR="00F7006B" w:rsidRPr="00AE4E5F" w:rsidRDefault="00F7006B" w:rsidP="00AE4E5F">
      <w:pPr>
        <w:shd w:val="clear" w:color="auto" w:fill="FFFFFF"/>
        <w:jc w:val="left"/>
        <w:rPr>
          <w:rFonts w:ascii="Arial" w:eastAsia="Times New Roman" w:hAnsi="Arial" w:cs="Arial"/>
          <w:color w:val="333333"/>
          <w:sz w:val="24"/>
          <w:szCs w:val="20"/>
          <w:lang w:eastAsia="en-GB"/>
        </w:rPr>
      </w:pPr>
      <w:r w:rsidRPr="00AE4E5F">
        <w:rPr>
          <w:rFonts w:ascii="Arial" w:eastAsia="Times New Roman" w:hAnsi="Arial" w:cs="Arial"/>
          <w:color w:val="333333"/>
          <w:sz w:val="24"/>
          <w:szCs w:val="20"/>
          <w:vertAlign w:val="superscript"/>
          <w:lang w:eastAsia="en-GB"/>
        </w:rPr>
        <w:t>6</w:t>
      </w:r>
      <w:r w:rsidRPr="00AE4E5F">
        <w:rPr>
          <w:rFonts w:ascii="Arial" w:eastAsia="Times New Roman" w:hAnsi="Arial" w:cs="Arial"/>
          <w:color w:val="333333"/>
          <w:sz w:val="24"/>
          <w:szCs w:val="20"/>
          <w:lang w:eastAsia="en-GB"/>
        </w:rPr>
        <w:t> Pope St John Paul II, Apostolic Letter, </w:t>
      </w:r>
      <w:hyperlink r:id="rId9" w:tgtFrame="_blank" w:history="1">
        <w:r w:rsidRPr="00AE4E5F">
          <w:rPr>
            <w:rFonts w:ascii="Arial" w:eastAsia="Times New Roman" w:hAnsi="Arial" w:cs="Arial"/>
            <w:color w:val="337AB7"/>
            <w:sz w:val="24"/>
            <w:szCs w:val="20"/>
            <w:lang w:eastAsia="en-GB"/>
          </w:rPr>
          <w:t>Apostolos Suos</w:t>
        </w:r>
      </w:hyperlink>
      <w:r w:rsidRPr="00AE4E5F">
        <w:rPr>
          <w:rFonts w:ascii="Arial" w:eastAsia="Times New Roman" w:hAnsi="Arial" w:cs="Arial"/>
          <w:color w:val="333333"/>
          <w:sz w:val="24"/>
          <w:szCs w:val="20"/>
          <w:lang w:eastAsia="en-GB"/>
        </w:rPr>
        <w:t>, 21 May 1998 §13</w:t>
      </w:r>
    </w:p>
    <w:p w:rsidR="00F7006B" w:rsidRPr="00AE4E5F" w:rsidRDefault="00F7006B" w:rsidP="00AE4E5F">
      <w:pPr>
        <w:shd w:val="clear" w:color="auto" w:fill="FFFFFF"/>
        <w:jc w:val="left"/>
        <w:rPr>
          <w:rFonts w:ascii="Arial" w:eastAsia="Times New Roman" w:hAnsi="Arial" w:cs="Arial"/>
          <w:color w:val="333333"/>
          <w:sz w:val="24"/>
          <w:szCs w:val="20"/>
          <w:lang w:eastAsia="en-GB"/>
        </w:rPr>
      </w:pPr>
      <w:r w:rsidRPr="00AE4E5F">
        <w:rPr>
          <w:rFonts w:ascii="Arial" w:eastAsia="Times New Roman" w:hAnsi="Arial" w:cs="Arial"/>
          <w:color w:val="333333"/>
          <w:sz w:val="24"/>
          <w:szCs w:val="20"/>
          <w:vertAlign w:val="superscript"/>
          <w:lang w:eastAsia="en-GB"/>
        </w:rPr>
        <w:t>7</w:t>
      </w:r>
      <w:r w:rsidRPr="00AE4E5F">
        <w:rPr>
          <w:rFonts w:ascii="Arial" w:eastAsia="Times New Roman" w:hAnsi="Arial" w:cs="Arial"/>
          <w:color w:val="333333"/>
          <w:sz w:val="24"/>
          <w:szCs w:val="20"/>
          <w:lang w:eastAsia="en-GB"/>
        </w:rPr>
        <w:t> </w:t>
      </w:r>
      <w:hyperlink r:id="rId10" w:tgtFrame="_blank" w:history="1">
        <w:r w:rsidRPr="00AE4E5F">
          <w:rPr>
            <w:rFonts w:ascii="Arial" w:eastAsia="Times New Roman" w:hAnsi="Arial" w:cs="Arial"/>
            <w:color w:val="337AB7"/>
            <w:sz w:val="24"/>
            <w:szCs w:val="20"/>
            <w:lang w:eastAsia="en-GB"/>
          </w:rPr>
          <w:t>Apostolos Suos</w:t>
        </w:r>
      </w:hyperlink>
      <w:r w:rsidRPr="00AE4E5F">
        <w:rPr>
          <w:rFonts w:ascii="Arial" w:eastAsia="Times New Roman" w:hAnsi="Arial" w:cs="Arial"/>
          <w:color w:val="333333"/>
          <w:sz w:val="24"/>
          <w:szCs w:val="20"/>
          <w:lang w:eastAsia="en-GB"/>
        </w:rPr>
        <w:t>, §16</w:t>
      </w:r>
    </w:p>
    <w:p w:rsidR="00F7006B" w:rsidRPr="00AE4E5F" w:rsidRDefault="00F7006B" w:rsidP="00AE4E5F">
      <w:pPr>
        <w:shd w:val="clear" w:color="auto" w:fill="FFFFFF"/>
        <w:jc w:val="left"/>
        <w:rPr>
          <w:rFonts w:ascii="Arial" w:eastAsia="Times New Roman" w:hAnsi="Arial" w:cs="Arial"/>
          <w:color w:val="333333"/>
          <w:sz w:val="24"/>
          <w:szCs w:val="20"/>
          <w:lang w:eastAsia="en-GB"/>
        </w:rPr>
      </w:pPr>
      <w:r w:rsidRPr="00AE4E5F">
        <w:rPr>
          <w:rFonts w:ascii="Arial" w:eastAsia="Times New Roman" w:hAnsi="Arial" w:cs="Arial"/>
          <w:color w:val="333333"/>
          <w:sz w:val="24"/>
          <w:szCs w:val="20"/>
          <w:vertAlign w:val="superscript"/>
          <w:lang w:eastAsia="en-GB"/>
        </w:rPr>
        <w:t>8</w:t>
      </w:r>
      <w:r w:rsidRPr="00AE4E5F">
        <w:rPr>
          <w:rFonts w:ascii="Arial" w:eastAsia="Times New Roman" w:hAnsi="Arial" w:cs="Arial"/>
          <w:color w:val="333333"/>
          <w:sz w:val="24"/>
          <w:szCs w:val="20"/>
          <w:lang w:eastAsia="en-GB"/>
        </w:rPr>
        <w:t> </w:t>
      </w:r>
      <w:r w:rsidRPr="00AE4E5F">
        <w:rPr>
          <w:rFonts w:ascii="Arial" w:eastAsia="Times New Roman" w:hAnsi="Arial" w:cs="Arial"/>
          <w:i/>
          <w:iCs/>
          <w:color w:val="333333"/>
          <w:sz w:val="24"/>
          <w:szCs w:val="20"/>
          <w:lang w:eastAsia="en-GB"/>
        </w:rPr>
        <w:t>Let us Dream</w:t>
      </w:r>
      <w:r w:rsidRPr="00AE4E5F">
        <w:rPr>
          <w:rFonts w:ascii="Arial" w:eastAsia="Times New Roman" w:hAnsi="Arial" w:cs="Arial"/>
          <w:color w:val="333333"/>
          <w:sz w:val="24"/>
          <w:szCs w:val="20"/>
          <w:lang w:eastAsia="en-GB"/>
        </w:rPr>
        <w:t>, Prologue, pages 1-7</w:t>
      </w:r>
    </w:p>
    <w:p w:rsidR="00F7006B" w:rsidRPr="00AE4E5F" w:rsidRDefault="00F7006B" w:rsidP="00AE4E5F">
      <w:pPr>
        <w:shd w:val="clear" w:color="auto" w:fill="FFFFFF"/>
        <w:jc w:val="left"/>
        <w:rPr>
          <w:rFonts w:ascii="Arial" w:eastAsia="Times New Roman" w:hAnsi="Arial" w:cs="Arial"/>
          <w:color w:val="333333"/>
          <w:sz w:val="24"/>
          <w:szCs w:val="20"/>
          <w:lang w:eastAsia="en-GB"/>
        </w:rPr>
      </w:pPr>
      <w:r w:rsidRPr="00AE4E5F">
        <w:rPr>
          <w:rFonts w:ascii="Arial" w:eastAsia="Times New Roman" w:hAnsi="Arial" w:cs="Arial"/>
          <w:color w:val="333333"/>
          <w:sz w:val="24"/>
          <w:szCs w:val="20"/>
          <w:vertAlign w:val="superscript"/>
          <w:lang w:eastAsia="en-GB"/>
        </w:rPr>
        <w:t>9</w:t>
      </w:r>
      <w:r w:rsidRPr="00AE4E5F">
        <w:rPr>
          <w:rFonts w:ascii="Arial" w:eastAsia="Times New Roman" w:hAnsi="Arial" w:cs="Arial"/>
          <w:color w:val="333333"/>
          <w:sz w:val="24"/>
          <w:szCs w:val="20"/>
          <w:lang w:eastAsia="en-GB"/>
        </w:rPr>
        <w:t> </w:t>
      </w:r>
      <w:r w:rsidRPr="00AE4E5F">
        <w:rPr>
          <w:rFonts w:ascii="Arial" w:eastAsia="Times New Roman" w:hAnsi="Arial" w:cs="Arial"/>
          <w:i/>
          <w:iCs/>
          <w:color w:val="333333"/>
          <w:sz w:val="24"/>
          <w:szCs w:val="20"/>
          <w:lang w:eastAsia="en-GB"/>
        </w:rPr>
        <w:t>ibid</w:t>
      </w:r>
      <w:r w:rsidRPr="00AE4E5F">
        <w:rPr>
          <w:rFonts w:ascii="Arial" w:eastAsia="Times New Roman" w:hAnsi="Arial" w:cs="Arial"/>
          <w:color w:val="333333"/>
          <w:sz w:val="24"/>
          <w:szCs w:val="20"/>
          <w:lang w:eastAsia="en-GB"/>
        </w:rPr>
        <w:t>, Epilogue, page 135</w:t>
      </w:r>
    </w:p>
    <w:p w:rsidR="00DE2812" w:rsidRPr="00AE4E5F" w:rsidRDefault="00AE4E5F" w:rsidP="00AE4E5F">
      <w:pPr>
        <w:rPr>
          <w:sz w:val="20"/>
          <w:szCs w:val="20"/>
        </w:rPr>
      </w:pPr>
    </w:p>
    <w:sectPr w:rsidR="00DE2812" w:rsidRPr="00AE4E5F" w:rsidSect="00F7006B">
      <w:footerReference w:type="default" r:id="rId11"/>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E5F" w:rsidRDefault="00AE4E5F" w:rsidP="00AE4E5F">
      <w:r>
        <w:separator/>
      </w:r>
    </w:p>
  </w:endnote>
  <w:endnote w:type="continuationSeparator" w:id="0">
    <w:p w:rsidR="00AE4E5F" w:rsidRDefault="00AE4E5F" w:rsidP="00AE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panose1 w:val="020F08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878535"/>
      <w:docPartObj>
        <w:docPartGallery w:val="Page Numbers (Bottom of Page)"/>
        <w:docPartUnique/>
      </w:docPartObj>
    </w:sdtPr>
    <w:sdtEndPr>
      <w:rPr>
        <w:rFonts w:ascii="Lato" w:hAnsi="Lato"/>
        <w:noProof/>
        <w:sz w:val="24"/>
      </w:rPr>
    </w:sdtEndPr>
    <w:sdtContent>
      <w:p w:rsidR="00AE4E5F" w:rsidRDefault="00AE4E5F">
        <w:pPr>
          <w:pStyle w:val="Footer"/>
          <w:jc w:val="center"/>
        </w:pPr>
      </w:p>
      <w:p w:rsidR="00AE4E5F" w:rsidRPr="00AE4E5F" w:rsidRDefault="00AE4E5F">
        <w:pPr>
          <w:pStyle w:val="Footer"/>
          <w:jc w:val="center"/>
          <w:rPr>
            <w:rFonts w:ascii="Lato" w:hAnsi="Lato"/>
            <w:sz w:val="24"/>
          </w:rPr>
        </w:pPr>
        <w:r w:rsidRPr="00AE4E5F">
          <w:rPr>
            <w:rFonts w:ascii="Lato" w:hAnsi="Lato"/>
            <w:sz w:val="24"/>
          </w:rPr>
          <w:fldChar w:fldCharType="begin"/>
        </w:r>
        <w:r w:rsidRPr="00AE4E5F">
          <w:rPr>
            <w:rFonts w:ascii="Lato" w:hAnsi="Lato"/>
            <w:sz w:val="24"/>
          </w:rPr>
          <w:instrText xml:space="preserve"> PAGE   \* MERGEFORMAT </w:instrText>
        </w:r>
        <w:r w:rsidRPr="00AE4E5F">
          <w:rPr>
            <w:rFonts w:ascii="Lato" w:hAnsi="Lato"/>
            <w:sz w:val="24"/>
          </w:rPr>
          <w:fldChar w:fldCharType="separate"/>
        </w:r>
        <w:r>
          <w:rPr>
            <w:rFonts w:ascii="Lato" w:hAnsi="Lato"/>
            <w:noProof/>
            <w:sz w:val="24"/>
          </w:rPr>
          <w:t>2</w:t>
        </w:r>
        <w:r w:rsidRPr="00AE4E5F">
          <w:rPr>
            <w:rFonts w:ascii="Lato" w:hAnsi="Lato"/>
            <w:noProof/>
            <w:sz w:val="24"/>
          </w:rPr>
          <w:fldChar w:fldCharType="end"/>
        </w:r>
      </w:p>
    </w:sdtContent>
  </w:sdt>
  <w:p w:rsidR="00AE4E5F" w:rsidRDefault="00AE4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E5F" w:rsidRDefault="00AE4E5F" w:rsidP="00AE4E5F">
      <w:r>
        <w:separator/>
      </w:r>
    </w:p>
  </w:footnote>
  <w:footnote w:type="continuationSeparator" w:id="0">
    <w:p w:rsidR="00AE4E5F" w:rsidRDefault="00AE4E5F" w:rsidP="00AE4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6B"/>
    <w:rsid w:val="002B28AF"/>
    <w:rsid w:val="00AE4E5F"/>
    <w:rsid w:val="00B41706"/>
    <w:rsid w:val="00DE30CE"/>
    <w:rsid w:val="00F70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BBBC"/>
  <w15:chartTrackingRefBased/>
  <w15:docId w15:val="{AC1B9B6F-BC68-493E-9155-4A46E54A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0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06B"/>
    <w:rPr>
      <w:rFonts w:ascii="Segoe UI" w:hAnsi="Segoe UI" w:cs="Segoe UI"/>
      <w:sz w:val="18"/>
      <w:szCs w:val="18"/>
    </w:rPr>
  </w:style>
  <w:style w:type="paragraph" w:styleId="Header">
    <w:name w:val="header"/>
    <w:basedOn w:val="Normal"/>
    <w:link w:val="HeaderChar"/>
    <w:uiPriority w:val="99"/>
    <w:unhideWhenUsed/>
    <w:rsid w:val="00AE4E5F"/>
    <w:pPr>
      <w:tabs>
        <w:tab w:val="center" w:pos="4513"/>
        <w:tab w:val="right" w:pos="9026"/>
      </w:tabs>
    </w:pPr>
  </w:style>
  <w:style w:type="character" w:customStyle="1" w:styleId="HeaderChar">
    <w:name w:val="Header Char"/>
    <w:basedOn w:val="DefaultParagraphFont"/>
    <w:link w:val="Header"/>
    <w:uiPriority w:val="99"/>
    <w:rsid w:val="00AE4E5F"/>
  </w:style>
  <w:style w:type="paragraph" w:styleId="Footer">
    <w:name w:val="footer"/>
    <w:basedOn w:val="Normal"/>
    <w:link w:val="FooterChar"/>
    <w:uiPriority w:val="99"/>
    <w:unhideWhenUsed/>
    <w:rsid w:val="00AE4E5F"/>
    <w:pPr>
      <w:tabs>
        <w:tab w:val="center" w:pos="4513"/>
        <w:tab w:val="right" w:pos="9026"/>
      </w:tabs>
    </w:pPr>
  </w:style>
  <w:style w:type="character" w:customStyle="1" w:styleId="FooterChar">
    <w:name w:val="Footer Char"/>
    <w:basedOn w:val="DefaultParagraphFont"/>
    <w:link w:val="Footer"/>
    <w:uiPriority w:val="99"/>
    <w:rsid w:val="00AE4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970381">
      <w:bodyDiv w:val="1"/>
      <w:marLeft w:val="0"/>
      <w:marRight w:val="0"/>
      <w:marTop w:val="0"/>
      <w:marBottom w:val="0"/>
      <w:divBdr>
        <w:top w:val="none" w:sz="0" w:space="0" w:color="auto"/>
        <w:left w:val="none" w:sz="0" w:space="0" w:color="auto"/>
        <w:bottom w:val="none" w:sz="0" w:space="0" w:color="auto"/>
        <w:right w:val="none" w:sz="0" w:space="0" w:color="auto"/>
      </w:divBdr>
      <w:divsChild>
        <w:div w:id="1704864837">
          <w:marLeft w:val="0"/>
          <w:marRight w:val="0"/>
          <w:marTop w:val="300"/>
          <w:marBottom w:val="300"/>
          <w:divBdr>
            <w:top w:val="none" w:sz="0" w:space="0" w:color="auto"/>
            <w:left w:val="none" w:sz="0" w:space="0" w:color="auto"/>
            <w:bottom w:val="none" w:sz="0" w:space="0" w:color="auto"/>
            <w:right w:val="none" w:sz="0" w:space="0" w:color="auto"/>
          </w:divBdr>
          <w:divsChild>
            <w:div w:id="1087649263">
              <w:marLeft w:val="0"/>
              <w:marRight w:val="0"/>
              <w:marTop w:val="0"/>
              <w:marBottom w:val="0"/>
              <w:divBdr>
                <w:top w:val="none" w:sz="0" w:space="0" w:color="auto"/>
                <w:left w:val="none" w:sz="0" w:space="0" w:color="auto"/>
                <w:bottom w:val="none" w:sz="0" w:space="0" w:color="auto"/>
                <w:right w:val="none" w:sz="0" w:space="0" w:color="auto"/>
              </w:divBdr>
            </w:div>
            <w:div w:id="504394163">
              <w:marLeft w:val="0"/>
              <w:marRight w:val="0"/>
              <w:marTop w:val="0"/>
              <w:marBottom w:val="0"/>
              <w:divBdr>
                <w:top w:val="none" w:sz="0" w:space="0" w:color="auto"/>
                <w:left w:val="none" w:sz="0" w:space="0" w:color="auto"/>
                <w:bottom w:val="none" w:sz="0" w:space="0" w:color="auto"/>
                <w:right w:val="none" w:sz="0" w:space="0" w:color="auto"/>
              </w:divBdr>
            </w:div>
            <w:div w:id="142359922">
              <w:marLeft w:val="0"/>
              <w:marRight w:val="0"/>
              <w:marTop w:val="300"/>
              <w:marBottom w:val="300"/>
              <w:divBdr>
                <w:top w:val="none" w:sz="0" w:space="0" w:color="auto"/>
                <w:left w:val="none" w:sz="0" w:space="0" w:color="auto"/>
                <w:bottom w:val="none" w:sz="0" w:space="0" w:color="auto"/>
                <w:right w:val="none" w:sz="0" w:space="0" w:color="auto"/>
              </w:divBdr>
            </w:div>
          </w:divsChild>
        </w:div>
        <w:div w:id="1770193677">
          <w:marLeft w:val="0"/>
          <w:marRight w:val="0"/>
          <w:marTop w:val="15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content/john-paul-ii/en/apost_exhortations/documents/hf_jp-ii_exh_20031016_pastores-gregi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bcew.org.uk/bishops-conference-synodal-proces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vatican.va/content/john-paul-ii/en/motu_proprio/documents/hf_jp-ii_motu-proprio_22071998_apostolos-suos.html" TargetMode="External"/><Relationship Id="rId4" Type="http://schemas.openxmlformats.org/officeDocument/2006/relationships/footnotes" Target="footnotes.xml"/><Relationship Id="rId9" Type="http://schemas.openxmlformats.org/officeDocument/2006/relationships/hyperlink" Target="https://www.vatican.va/content/john-paul-ii/en/motu_proprio/documents/hf_jp-ii_motu-proprio_22071998_apostolos-su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Archdiocese of Southwark</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Archbishop John Wilson</dc:creator>
  <cp:keywords/>
  <dc:description/>
  <cp:lastModifiedBy>John Wilson</cp:lastModifiedBy>
  <cp:revision>2</cp:revision>
  <cp:lastPrinted>2021-09-23T08:47:00Z</cp:lastPrinted>
  <dcterms:created xsi:type="dcterms:W3CDTF">2021-10-02T07:21:00Z</dcterms:created>
  <dcterms:modified xsi:type="dcterms:W3CDTF">2021-10-02T07:21:00Z</dcterms:modified>
</cp:coreProperties>
</file>